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overflowPunct w:val="0"/>
        <w:spacing w:line="580" w:lineRule="exact"/>
        <w:rPr>
          <w:rFonts w:eastAsia="黑体"/>
          <w:sz w:val="32"/>
          <w:szCs w:val="32"/>
        </w:rPr>
      </w:pPr>
    </w:p>
    <w:p>
      <w:pPr>
        <w:overflowPunct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法规要求政府及相关部门制定的配套性文件</w:t>
      </w:r>
    </w:p>
    <w:p>
      <w:pPr>
        <w:overflowPunct w:val="0"/>
        <w:spacing w:line="580" w:lineRule="exact"/>
        <w:rPr>
          <w:rFonts w:eastAsia="方正小标宋简体"/>
          <w:sz w:val="28"/>
          <w:szCs w:val="28"/>
        </w:rPr>
      </w:pPr>
    </w:p>
    <w:tbl>
      <w:tblPr>
        <w:tblStyle w:val="5"/>
        <w:tblW w:w="91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049"/>
        <w:gridCol w:w="1831"/>
        <w:gridCol w:w="1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tblHeader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序号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主要内容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责任单位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jc w:val="center"/>
              <w:rPr>
                <w:rFonts w:ascii="黑体" w:hAnsi="黑体" w:eastAsia="黑体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32"/>
              </w:rPr>
              <w:t>法规条款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区人民政府应当根据国家有关规定，结合本行政区域实际，制定本级突发公共卫生事件应急预案，明确事件级别和对应措施等事项，并向社会公布。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区人民政府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《条例》</w:t>
            </w:r>
          </w:p>
          <w:p>
            <w:pPr>
              <w:overflowPunct w:val="0"/>
              <w:spacing w:line="4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条</w:t>
            </w:r>
          </w:p>
          <w:p>
            <w:pPr>
              <w:overflowPunct w:val="0"/>
              <w:spacing w:line="4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第1款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区人民政府有关部门和街道办事处、镇人民政府应当根据市或者区人民政府制定的应急预案，结合各自职责制定本部门、本区域的相关应急预案。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区人民政府有关部门和街道办事处、镇人民政府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《条例》</w:t>
            </w:r>
          </w:p>
          <w:p>
            <w:pPr>
              <w:overflowPunct w:val="0"/>
              <w:spacing w:line="4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条</w:t>
            </w:r>
          </w:p>
          <w:p>
            <w:pPr>
              <w:overflowPunct w:val="0"/>
              <w:spacing w:line="4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第2款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区</w:t>
            </w:r>
            <w:r>
              <w:rPr>
                <w:rFonts w:eastAsia="仿宋_GB2312"/>
                <w:sz w:val="28"/>
                <w:szCs w:val="28"/>
              </w:rPr>
              <w:t>卫生健康部门建立医疗卫生机构公共卫生职责清单和评价机制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  <w:lang w:eastAsia="zh-CN"/>
              </w:rPr>
              <w:t>区</w:t>
            </w:r>
            <w:r>
              <w:rPr>
                <w:rFonts w:eastAsia="仿宋_GB2312"/>
                <w:sz w:val="28"/>
                <w:szCs w:val="28"/>
              </w:rPr>
              <w:t>卫生健康部门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《条例》</w:t>
            </w:r>
          </w:p>
          <w:p>
            <w:pPr>
              <w:overflowPunct w:val="0"/>
              <w:spacing w:line="4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19</w:t>
            </w:r>
            <w:r>
              <w:rPr>
                <w:rFonts w:hint="eastAsia" w:eastAsia="仿宋_GB2312"/>
                <w:sz w:val="28"/>
                <w:szCs w:val="2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9" w:hRule="atLeast"/>
          <w:jc w:val="center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4</w:t>
            </w:r>
          </w:p>
        </w:tc>
        <w:tc>
          <w:tcPr>
            <w:tcW w:w="5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区人民政府制定和完善</w:t>
            </w:r>
            <w:r>
              <w:rPr>
                <w:rFonts w:hint="eastAsia" w:eastAsia="仿宋_GB2312"/>
                <w:sz w:val="28"/>
                <w:szCs w:val="28"/>
              </w:rPr>
              <w:t>本市</w:t>
            </w:r>
            <w:r>
              <w:rPr>
                <w:rFonts w:eastAsia="仿宋_GB2312"/>
                <w:sz w:val="28"/>
                <w:szCs w:val="28"/>
              </w:rPr>
              <w:t>公共卫生应急储备目录并动态调整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区人民政府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spacing w:line="4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《条例》</w:t>
            </w:r>
          </w:p>
          <w:p>
            <w:pPr>
              <w:overflowPunct w:val="0"/>
              <w:spacing w:line="49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第</w:t>
            </w:r>
            <w:r>
              <w:rPr>
                <w:rFonts w:eastAsia="仿宋_GB2312"/>
                <w:sz w:val="28"/>
                <w:szCs w:val="28"/>
              </w:rPr>
              <w:t>20</w:t>
            </w:r>
            <w:r>
              <w:rPr>
                <w:rFonts w:hint="eastAsia" w:eastAsia="仿宋_GB2312"/>
                <w:sz w:val="28"/>
                <w:szCs w:val="28"/>
              </w:rPr>
              <w:t>条</w:t>
            </w:r>
          </w:p>
        </w:tc>
      </w:tr>
    </w:tbl>
    <w:p>
      <w:pPr>
        <w:overflowPunct w:val="0"/>
        <w:spacing w:line="580" w:lineRule="exact"/>
        <w:rPr>
          <w:kern w:val="0"/>
          <w:sz w:val="10"/>
          <w:szCs w:val="10"/>
        </w:rPr>
      </w:pPr>
    </w:p>
    <w:p>
      <w:pPr>
        <w:overflowPunct w:val="0"/>
        <w:spacing w:line="580" w:lineRule="exact"/>
        <w:rPr>
          <w:rFonts w:eastAsia="黑体"/>
          <w:sz w:val="32"/>
          <w:szCs w:val="32"/>
        </w:rPr>
      </w:pPr>
      <w:r>
        <w:rPr>
          <w:rFonts w:ascii="宋体" w:hAnsi="宋体"/>
          <w:kern w:val="0"/>
          <w:sz w:val="28"/>
          <w:szCs w:val="28"/>
        </w:rPr>
        <w:br w:type="page"/>
      </w:r>
      <w:r>
        <w:rPr>
          <w:rFonts w:eastAsia="黑体"/>
          <w:sz w:val="32"/>
          <w:szCs w:val="32"/>
        </w:rPr>
        <w:t>附件2</w:t>
      </w:r>
    </w:p>
    <w:p>
      <w:pPr>
        <w:spacing w:line="580" w:lineRule="exact"/>
      </w:pPr>
    </w:p>
    <w:p>
      <w:pPr>
        <w:pStyle w:val="3"/>
        <w:overflowPunct w:val="0"/>
        <w:spacing w:before="0" w:after="0" w:line="580" w:lineRule="exact"/>
        <w:ind w:left="0" w:leftChars="0" w:firstLine="0" w:firstLineChars="0"/>
        <w:jc w:val="center"/>
        <w:outlineLvl w:val="9"/>
        <w:rPr>
          <w:rFonts w:ascii="方正小标宋简体" w:eastAsia="方正小标宋简体"/>
          <w:b w:val="0"/>
          <w:sz w:val="44"/>
          <w:szCs w:val="44"/>
        </w:rPr>
      </w:pPr>
      <w:r>
        <w:rPr>
          <w:rFonts w:hint="eastAsia" w:ascii="方正小标宋简体" w:eastAsia="方正小标宋简体"/>
          <w:b w:val="0"/>
          <w:sz w:val="44"/>
          <w:szCs w:val="44"/>
        </w:rPr>
        <w:t>执法检查组成员名单</w:t>
      </w:r>
    </w:p>
    <w:p>
      <w:pPr>
        <w:overflowPunct w:val="0"/>
        <w:spacing w:line="580" w:lineRule="exact"/>
        <w:jc w:val="center"/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（共</w:t>
      </w:r>
      <w:r>
        <w:rPr>
          <w:rFonts w:hint="eastAsia" w:eastAsia="楷体_GB2312"/>
          <w:sz w:val="32"/>
          <w:szCs w:val="32"/>
          <w:lang w:val="en-US" w:eastAsia="zh-CN"/>
        </w:rPr>
        <w:t>24</w:t>
      </w:r>
      <w:r>
        <w:rPr>
          <w:rFonts w:eastAsia="楷体_GB2312"/>
          <w:sz w:val="32"/>
          <w:szCs w:val="32"/>
        </w:rPr>
        <w:t>人）</w:t>
      </w:r>
    </w:p>
    <w:p>
      <w:pPr>
        <w:overflowPunct w:val="0"/>
        <w:spacing w:line="580" w:lineRule="exact"/>
        <w:rPr>
          <w:rFonts w:eastAsia="仿宋_GB2312"/>
          <w:sz w:val="32"/>
          <w:szCs w:val="32"/>
        </w:rPr>
      </w:pPr>
    </w:p>
    <w:tbl>
      <w:tblPr>
        <w:tblStyle w:val="5"/>
        <w:tblW w:w="91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76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81" w:type="dxa"/>
            <w:gridSpan w:val="2"/>
            <w:vAlign w:val="top"/>
          </w:tcPr>
          <w:p>
            <w:pPr>
              <w:overflowPunct w:val="0"/>
              <w:spacing w:line="490" w:lineRule="exact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组　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张维刚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区</w:t>
            </w:r>
            <w:r>
              <w:rPr>
                <w:rFonts w:eastAsia="仿宋_GB2312"/>
                <w:color w:val="000000"/>
                <w:sz w:val="32"/>
                <w:szCs w:val="32"/>
              </w:rPr>
              <w:t>人大常委会党组书记、主任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81" w:type="dxa"/>
            <w:gridSpan w:val="2"/>
            <w:vAlign w:val="top"/>
          </w:tcPr>
          <w:p>
            <w:pPr>
              <w:overflowPunct w:val="0"/>
              <w:spacing w:line="49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81" w:type="dxa"/>
            <w:gridSpan w:val="2"/>
            <w:vAlign w:val="top"/>
          </w:tcPr>
          <w:p>
            <w:pPr>
              <w:overflowPunct w:val="0"/>
              <w:spacing w:line="490" w:lineRule="exact"/>
              <w:rPr>
                <w:rFonts w:eastAsia="黑体"/>
                <w:color w:val="000000"/>
                <w:sz w:val="32"/>
                <w:szCs w:val="32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t>副组长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何</w:t>
            </w: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渊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区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人大常委会党组</w:t>
            </w: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成员、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李</w:t>
            </w:r>
            <w:r>
              <w:rPr>
                <w:rFonts w:hint="eastAsia" w:eastAsia="仿宋_GB2312"/>
                <w:color w:val="000000"/>
                <w:sz w:val="32"/>
                <w:szCs w:val="32"/>
                <w:lang w:val="en-US" w:eastAsia="zh-CN"/>
              </w:rPr>
              <w:t xml:space="preserve">  伟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区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人大常委会党组</w:t>
            </w: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成员、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181" w:type="dxa"/>
            <w:gridSpan w:val="2"/>
            <w:vAlign w:val="top"/>
          </w:tcPr>
          <w:p>
            <w:pPr>
              <w:overflowPunct w:val="0"/>
              <w:spacing w:line="490" w:lineRule="exact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成　员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孙隆盛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区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人大常委会党组</w:t>
            </w: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成员、办公室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史雅琳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区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人大</w:t>
            </w: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法制委、社会建设委主任委员，法制办主任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李秋芳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区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人大</w:t>
            </w: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教科文卫委主任委员，教科文卫办主任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李国庆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hint="eastAsia" w:eastAsia="仿宋_GB2312"/>
                <w:color w:val="000000"/>
                <w:sz w:val="32"/>
                <w:szCs w:val="32"/>
              </w:rPr>
            </w:pP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区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人大常委会</w:t>
            </w:r>
            <w:r>
              <w:rPr>
                <w:rFonts w:hint="eastAsia" w:eastAsia="仿宋_GB2312"/>
                <w:color w:val="000000"/>
                <w:sz w:val="32"/>
                <w:szCs w:val="32"/>
                <w:lang w:eastAsia="zh-CN"/>
              </w:rPr>
              <w:t>代表联络室</w:t>
            </w:r>
            <w:r>
              <w:rPr>
                <w:rFonts w:hint="eastAsia" w:eastAsia="仿宋_GB2312"/>
                <w:color w:val="000000"/>
                <w:sz w:val="32"/>
                <w:szCs w:val="32"/>
              </w:rPr>
              <w:t>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英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教科文卫委副主任委员，教科文卫办副主任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王志纯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人大常委会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法制办副主任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 xml:space="preserve">陈连军 </w:t>
            </w:r>
          </w:p>
        </w:tc>
        <w:tc>
          <w:tcPr>
            <w:tcW w:w="76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人大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教科文卫委副主任委员，妙峰山镇党委副书记、镇长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马  兰</w:t>
            </w:r>
          </w:p>
        </w:tc>
        <w:tc>
          <w:tcPr>
            <w:tcW w:w="763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市人大代表、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区人大社会建设委副主任委员、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大峪街道向阳社区委员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  婧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区人大社会建设委副主任委员、大台中心小学团支部书记、少先队大队辅导员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赵孟岐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区人大社会建设委委员、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铁三局四公司工会主席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王学沛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区人大社会建设委委员、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龙泉镇龙泉务社区书记、主任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刘梦瑜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区人大社会建设委委员、大峪街道惠民家园社区服务站副站长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侯金凤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区人大社会建设委委员、车站街社区书记、主任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 xml:space="preserve">乔丽彬 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区人大社会建设委委员、石门营四区党支部委员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李  燕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区人大社会建设委委员、王平镇社区工作者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李  卫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区人大教科文卫委委员、阜外心血管病医院国家心血管病中心医学统计部主任、研究院、博士生导师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张  红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区人大教科文卫委委员、区新闻中心编辑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魏  芳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区人大教科文卫委委员、大峪中学分校校长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宗桂芝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区人大教科文卫委委员、京煤集团总医院内分泌科主任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李玉霞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区人大教科文卫委委员、石门营七区书记、主任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8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柴新颖</w:t>
            </w:r>
          </w:p>
        </w:tc>
        <w:tc>
          <w:tcPr>
            <w:tcW w:w="7633" w:type="dxa"/>
            <w:vAlign w:val="top"/>
          </w:tcPr>
          <w:p>
            <w:pPr>
              <w:overflowPunct w:val="0"/>
              <w:spacing w:line="490" w:lineRule="exac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区人大教科文卫委委员、北京科技高级技术学校教师</w:t>
            </w:r>
          </w:p>
        </w:tc>
      </w:tr>
    </w:tbl>
    <w:p>
      <w:pPr>
        <w:pStyle w:val="2"/>
        <w:ind w:left="0" w:leftChars="0" w:firstLine="0" w:firstLineChars="0"/>
        <w:rPr>
          <w:rFonts w:hint="eastAsia" w:eastAsia="仿宋_GB2312" w:cs="Times New Roman"/>
          <w:color w:val="000000"/>
          <w:sz w:val="18"/>
          <w:szCs w:val="1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eastAsia="仿宋_GB2312" w:cs="Times New Roman"/>
          <w:color w:val="000000"/>
          <w:sz w:val="18"/>
          <w:szCs w:val="1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eastAsia="仿宋_GB2312" w:cs="Times New Roman"/>
          <w:color w:val="000000"/>
          <w:sz w:val="18"/>
          <w:szCs w:val="1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eastAsia="仿宋_GB2312" w:cs="Times New Roman"/>
          <w:color w:val="000000"/>
          <w:sz w:val="18"/>
          <w:szCs w:val="1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eastAsia="仿宋_GB2312" w:cs="Times New Roman"/>
          <w:color w:val="000000"/>
          <w:sz w:val="18"/>
          <w:szCs w:val="1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eastAsia="仿宋_GB2312" w:cs="Times New Roman"/>
          <w:color w:val="000000"/>
          <w:sz w:val="18"/>
          <w:szCs w:val="1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22627"/>
    <w:rsid w:val="3792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3">
    <w:name w:val="Title"/>
    <w:basedOn w:val="1"/>
    <w:next w:val="1"/>
    <w:qFormat/>
    <w:uiPriority w:val="0"/>
    <w:pPr>
      <w:spacing w:beforeLines="0" w:beforeAutospacing="0" w:afterLines="0" w:afterAutospacing="0"/>
      <w:ind w:firstLine="640"/>
      <w:jc w:val="left"/>
      <w:outlineLvl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区人大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2021-05-19T02:15:00Z</dcterms:created>
  <dc:creator>ly</dc:creator>
  <cp:lastModifiedBy>ly</cp:lastModifiedBy>
  <dcterms:modified xsi:type="dcterms:W3CDTF">2021-05-19T02:16:30Z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